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42" w:rsidRDefault="00907342" w:rsidP="0090734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07342" w:rsidRDefault="00907342" w:rsidP="0090734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907342" w:rsidRDefault="00907342" w:rsidP="0090734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907342" w:rsidRDefault="00907342" w:rsidP="0090734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0842A3" w:rsidRPr="00907342" w:rsidRDefault="00907342" w:rsidP="00907342">
      <w:pPr>
        <w:pStyle w:val="a5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0842A3" w:rsidRDefault="000842A3" w:rsidP="000842A3">
      <w:pPr>
        <w:jc w:val="center"/>
        <w:rPr>
          <w:rFonts w:ascii="Arial" w:hAnsi="Arial" w:cs="Arial"/>
        </w:rPr>
      </w:pPr>
    </w:p>
    <w:p w:rsidR="000842A3" w:rsidRDefault="000842A3" w:rsidP="000842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842A3" w:rsidRDefault="000842A3" w:rsidP="000842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от  «22 » декабря 2021 г.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37</w:t>
      </w:r>
    </w:p>
    <w:p w:rsidR="000842A3" w:rsidRDefault="000842A3" w:rsidP="000842A3">
      <w:pPr>
        <w:suppressAutoHyphens w:val="0"/>
        <w:ind w:firstLine="709"/>
        <w:jc w:val="both"/>
        <w:rPr>
          <w:rFonts w:ascii="Arial" w:hAnsi="Arial" w:cs="Arial"/>
          <w:lang w:eastAsia="en-US"/>
        </w:rPr>
      </w:pPr>
    </w:p>
    <w:p w:rsidR="000842A3" w:rsidRPr="000842A3" w:rsidRDefault="000842A3" w:rsidP="000842A3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0842A3">
        <w:rPr>
          <w:rFonts w:ascii="Arial" w:hAnsi="Arial" w:cs="Arial"/>
        </w:rPr>
        <w:t xml:space="preserve">О внесении  изменений  в  решение  </w:t>
      </w:r>
      <w:proofErr w:type="spellStart"/>
      <w:r w:rsidRPr="000842A3">
        <w:rPr>
          <w:rFonts w:ascii="Arial" w:hAnsi="Arial" w:cs="Arial"/>
        </w:rPr>
        <w:t>Усть-Хоперского</w:t>
      </w:r>
      <w:proofErr w:type="spellEnd"/>
      <w:r w:rsidRPr="000842A3">
        <w:rPr>
          <w:rFonts w:ascii="Arial" w:hAnsi="Arial" w:cs="Arial"/>
        </w:rPr>
        <w:t xml:space="preserve"> сельского Совета </w:t>
      </w:r>
      <w:proofErr w:type="spellStart"/>
      <w:r w:rsidRPr="000842A3">
        <w:rPr>
          <w:rFonts w:ascii="Arial" w:hAnsi="Arial" w:cs="Arial"/>
        </w:rPr>
        <w:t>Серафимовичского</w:t>
      </w:r>
      <w:proofErr w:type="spellEnd"/>
      <w:r w:rsidRPr="000842A3">
        <w:rPr>
          <w:rFonts w:ascii="Arial" w:hAnsi="Arial" w:cs="Arial"/>
        </w:rPr>
        <w:t xml:space="preserve">  муниципального района Волгоградской области от 26.07.2021г. № 18 «Об утверждении Положения о </w:t>
      </w:r>
      <w:bookmarkStart w:id="0" w:name="_Hlk73706793"/>
      <w:r w:rsidRPr="000842A3">
        <w:rPr>
          <w:rFonts w:ascii="Arial" w:hAnsi="Arial" w:cs="Arial"/>
        </w:rPr>
        <w:t xml:space="preserve">муниципальном контроле </w:t>
      </w:r>
      <w:bookmarkEnd w:id="0"/>
      <w:r w:rsidRPr="000842A3">
        <w:rPr>
          <w:rFonts w:ascii="Arial" w:hAnsi="Arial" w:cs="Arial"/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 w:rsidRPr="000842A3">
        <w:rPr>
          <w:rFonts w:ascii="Arial" w:hAnsi="Arial" w:cs="Arial"/>
          <w:spacing w:val="2"/>
        </w:rPr>
        <w:t>Усть-Хоперском</w:t>
      </w:r>
      <w:proofErr w:type="spellEnd"/>
      <w:r w:rsidRPr="000842A3">
        <w:rPr>
          <w:rFonts w:ascii="Arial" w:hAnsi="Arial" w:cs="Arial"/>
          <w:spacing w:val="2"/>
        </w:rPr>
        <w:t xml:space="preserve"> сельском поселении </w:t>
      </w:r>
      <w:proofErr w:type="spellStart"/>
      <w:r w:rsidRPr="000842A3">
        <w:rPr>
          <w:rFonts w:ascii="Arial" w:hAnsi="Arial" w:cs="Arial"/>
          <w:spacing w:val="2"/>
        </w:rPr>
        <w:t>Серафимовичского</w:t>
      </w:r>
      <w:proofErr w:type="spellEnd"/>
      <w:r w:rsidRPr="000842A3">
        <w:rPr>
          <w:rFonts w:ascii="Arial" w:hAnsi="Arial" w:cs="Arial"/>
          <w:spacing w:val="2"/>
        </w:rPr>
        <w:t xml:space="preserve"> муниципального района  Волгоградской области»</w:t>
      </w:r>
    </w:p>
    <w:p w:rsidR="000842A3" w:rsidRDefault="000842A3" w:rsidP="000842A3">
      <w:pPr>
        <w:outlineLvl w:val="0"/>
        <w:rPr>
          <w:rFonts w:ascii="Arial" w:hAnsi="Arial" w:cs="Arial"/>
          <w:strike/>
        </w:rPr>
      </w:pPr>
    </w:p>
    <w:p w:rsidR="000842A3" w:rsidRDefault="000842A3" w:rsidP="000842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с Федеральными </w:t>
      </w:r>
      <w:hyperlink r:id="rId4" w:history="1">
        <w:proofErr w:type="gramStart"/>
        <w:r>
          <w:rPr>
            <w:rStyle w:val="a4"/>
            <w:rFonts w:ascii="Arial" w:hAnsi="Arial" w:cs="Arial"/>
            <w:color w:val="auto"/>
            <w:u w:val="none"/>
          </w:rPr>
          <w:t>закон</w:t>
        </w:r>
      </w:hyperlink>
      <w:r>
        <w:rPr>
          <w:rFonts w:ascii="Arial" w:hAnsi="Arial" w:cs="Arial"/>
        </w:rPr>
        <w:t>ами</w:t>
      </w:r>
      <w:proofErr w:type="gramEnd"/>
      <w:r>
        <w:rPr>
          <w:rFonts w:ascii="Arial" w:hAnsi="Arial" w:cs="Arial"/>
        </w:rPr>
        <w:t xml:space="preserve"> от 06.10.2003 № 131-ФЗ «Об общих принципах организации местного самоуправления 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от 08.11.2007 № 259-ФЗ «Устав автомобильного транспорта и городского наземного электрического транспорта», от 31.07.2020 248-ФЗ «О государственном контроле (надзоре) и муниципальном </w:t>
      </w:r>
      <w:proofErr w:type="gramStart"/>
      <w:r>
        <w:rPr>
          <w:rFonts w:ascii="Arial" w:hAnsi="Arial" w:cs="Arial"/>
        </w:rPr>
        <w:t>контроле</w:t>
      </w:r>
      <w:proofErr w:type="gramEnd"/>
      <w:r>
        <w:rPr>
          <w:rFonts w:ascii="Arial" w:hAnsi="Arial" w:cs="Arial"/>
        </w:rPr>
        <w:t xml:space="preserve">  в Российской Федерации», руководствуясь Уставом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</w:t>
      </w:r>
      <w:proofErr w:type="spellStart"/>
      <w:r>
        <w:rPr>
          <w:rFonts w:ascii="Arial" w:hAnsi="Arial" w:cs="Arial"/>
        </w:rPr>
        <w:t>Усть-Хоперский</w:t>
      </w:r>
      <w:proofErr w:type="spellEnd"/>
      <w:r>
        <w:rPr>
          <w:rFonts w:ascii="Arial" w:hAnsi="Arial" w:cs="Arial"/>
        </w:rPr>
        <w:t xml:space="preserve"> сельский Совет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 </w:t>
      </w:r>
    </w:p>
    <w:p w:rsidR="000842A3" w:rsidRDefault="000842A3" w:rsidP="000842A3">
      <w:pPr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р</w:t>
      </w:r>
      <w:proofErr w:type="spellEnd"/>
      <w:proofErr w:type="gramEnd"/>
      <w:r>
        <w:rPr>
          <w:rFonts w:ascii="Arial" w:hAnsi="Arial" w:cs="Arial"/>
          <w:b/>
        </w:rPr>
        <w:t xml:space="preserve"> е </w:t>
      </w:r>
      <w:proofErr w:type="spellStart"/>
      <w:r>
        <w:rPr>
          <w:rFonts w:ascii="Arial" w:hAnsi="Arial" w:cs="Arial"/>
          <w:b/>
        </w:rPr>
        <w:t>ш</w:t>
      </w:r>
      <w:proofErr w:type="spellEnd"/>
      <w:r>
        <w:rPr>
          <w:rFonts w:ascii="Arial" w:hAnsi="Arial" w:cs="Arial"/>
          <w:b/>
        </w:rPr>
        <w:t xml:space="preserve"> и л:</w:t>
      </w:r>
    </w:p>
    <w:p w:rsidR="000842A3" w:rsidRDefault="000842A3" w:rsidP="000842A3">
      <w:pPr>
        <w:ind w:firstLine="720"/>
        <w:jc w:val="both"/>
        <w:rPr>
          <w:rFonts w:ascii="Arial" w:hAnsi="Arial" w:cs="Arial"/>
        </w:rPr>
      </w:pPr>
    </w:p>
    <w:p w:rsidR="000842A3" w:rsidRDefault="000842A3" w:rsidP="000842A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решение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района Волгоградской области от 14.08.2021г. № 18 «Об утверждении Положения о муниципальном контроле </w:t>
      </w:r>
      <w:r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>
        <w:rPr>
          <w:rFonts w:ascii="Arial" w:hAnsi="Arial" w:cs="Arial"/>
          <w:spacing w:val="2"/>
          <w:sz w:val="24"/>
          <w:szCs w:val="24"/>
        </w:rPr>
        <w:t>Усть-Хоперском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spacing w:val="2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муниципального района  Волгоградской области» (далее – решение) следующие  изменения:</w:t>
      </w:r>
      <w:r>
        <w:rPr>
          <w:rFonts w:ascii="Arial" w:hAnsi="Arial" w:cs="Arial"/>
          <w:b/>
          <w:spacing w:val="2"/>
          <w:sz w:val="24"/>
          <w:szCs w:val="24"/>
        </w:rPr>
        <w:t xml:space="preserve">                               </w:t>
      </w:r>
    </w:p>
    <w:p w:rsidR="000842A3" w:rsidRDefault="000842A3" w:rsidP="000842A3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Пункт «2. Индикативные показатели», Приложения 4 к Положению о </w:t>
      </w:r>
      <w:proofErr w:type="gramStart"/>
      <w:r>
        <w:rPr>
          <w:rFonts w:ascii="Arial" w:hAnsi="Arial" w:cs="Arial"/>
          <w:sz w:val="24"/>
          <w:szCs w:val="24"/>
        </w:rPr>
        <w:t xml:space="preserve">муниципальном контроле </w:t>
      </w:r>
      <w:r>
        <w:rPr>
          <w:rFonts w:ascii="Arial" w:hAnsi="Arial" w:cs="Arial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pacing w:val="2"/>
          <w:sz w:val="24"/>
          <w:szCs w:val="24"/>
        </w:rPr>
        <w:t>Усть-Хоперском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spacing w:val="2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муниципального района  Волгоградской области</w:t>
      </w:r>
      <w:r>
        <w:rPr>
          <w:rFonts w:ascii="Arial" w:hAnsi="Arial" w:cs="Arial"/>
          <w:sz w:val="24"/>
          <w:szCs w:val="24"/>
        </w:rPr>
        <w:t>, утвержденного решением, изложить в новой редакции:</w:t>
      </w:r>
      <w:proofErr w:type="gramEnd"/>
    </w:p>
    <w:p w:rsidR="000842A3" w:rsidRDefault="000842A3" w:rsidP="000842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«2. Индикативные показатели:</w:t>
      </w:r>
    </w:p>
    <w:p w:rsidR="000842A3" w:rsidRDefault="000842A3" w:rsidP="000842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>
        <w:rPr>
          <w:rFonts w:ascii="Arial" w:hAnsi="Arial" w:cs="Arial"/>
          <w:spacing w:val="2"/>
          <w:sz w:val="24"/>
          <w:szCs w:val="24"/>
        </w:rPr>
        <w:t>Усть-Хоперском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spacing w:val="2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муниципального района  Волгоградской области</w:t>
      </w:r>
      <w:r>
        <w:rPr>
          <w:rFonts w:ascii="Arial" w:hAnsi="Arial" w:cs="Arial"/>
          <w:sz w:val="24"/>
          <w:szCs w:val="24"/>
        </w:rPr>
        <w:t xml:space="preserve"> устанавливаются следующие индикативные показатели:</w:t>
      </w:r>
    </w:p>
    <w:p w:rsidR="000842A3" w:rsidRDefault="000842A3" w:rsidP="000842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проведенных внеплановых контрольных  (надзорных) мероприятий;</w:t>
      </w:r>
    </w:p>
    <w:p w:rsidR="000842A3" w:rsidRDefault="000842A3" w:rsidP="000842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поступивших возражений в отношении акта контрольного мероприятия;</w:t>
      </w:r>
    </w:p>
    <w:p w:rsidR="000842A3" w:rsidRDefault="000842A3" w:rsidP="000842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количество выданных предписаний об устранении нарушений обязательных требований;</w:t>
      </w:r>
    </w:p>
    <w:p w:rsidR="000842A3" w:rsidRDefault="000842A3" w:rsidP="000842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устраненных нарушений обязательных требований;</w:t>
      </w:r>
    </w:p>
    <w:p w:rsidR="000842A3" w:rsidRDefault="000842A3" w:rsidP="000842A3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0842A3" w:rsidRDefault="000842A3" w:rsidP="000842A3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общее количество контрольных (надзорных) мероприятий с взаимодействием, проведенных за отчетный период;</w:t>
      </w:r>
    </w:p>
    <w:p w:rsidR="000842A3" w:rsidRDefault="000842A3" w:rsidP="000842A3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0842A3" w:rsidRDefault="000842A3" w:rsidP="000842A3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0842A3" w:rsidRDefault="000842A3" w:rsidP="000842A3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количество обязательных профилактических визитов, проведенных за отчетный период;</w:t>
      </w:r>
    </w:p>
    <w:p w:rsidR="000842A3" w:rsidRDefault="000842A3" w:rsidP="000842A3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0842A3" w:rsidRDefault="000842A3" w:rsidP="000842A3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0842A3" w:rsidRDefault="000842A3" w:rsidP="000842A3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0842A3" w:rsidRDefault="000842A3" w:rsidP="000842A3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0842A3" w:rsidRDefault="000842A3" w:rsidP="000842A3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0842A3" w:rsidRDefault="000842A3" w:rsidP="000842A3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0842A3" w:rsidRDefault="000842A3" w:rsidP="000842A3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общее количество учтенных объектов контроля на конец отчетного периода;</w:t>
      </w:r>
    </w:p>
    <w:p w:rsidR="000842A3" w:rsidRDefault="000842A3" w:rsidP="000842A3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количество учтенных контролируемых лиц на конец отчетного периода;</w:t>
      </w:r>
    </w:p>
    <w:p w:rsidR="000842A3" w:rsidRDefault="000842A3" w:rsidP="000842A3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0842A3" w:rsidRDefault="000842A3" w:rsidP="000842A3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общее количество жалоб, поданных контролируемыми лицами в досудебном порядке за отчетный период;</w:t>
      </w:r>
    </w:p>
    <w:p w:rsidR="000842A3" w:rsidRDefault="000842A3" w:rsidP="000842A3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0842A3" w:rsidRDefault="000842A3" w:rsidP="000842A3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количество жалоб, поданных контролируемыми лицами в досудебном порядке, по </w:t>
      </w:r>
      <w:proofErr w:type="gramStart"/>
      <w:r>
        <w:rPr>
          <w:rFonts w:ascii="Arial" w:hAnsi="Arial" w:cs="Arial"/>
          <w:lang w:eastAsia="ru-RU"/>
        </w:rPr>
        <w:t>итогам</w:t>
      </w:r>
      <w:proofErr w:type="gramEnd"/>
      <w:r>
        <w:rPr>
          <w:rFonts w:ascii="Arial" w:hAnsi="Arial" w:cs="Arial"/>
          <w:lang w:eastAsia="ru-RU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0842A3" w:rsidRDefault="000842A3" w:rsidP="000842A3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0842A3" w:rsidRDefault="000842A3" w:rsidP="000842A3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0842A3" w:rsidRDefault="000842A3" w:rsidP="000842A3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>
        <w:rPr>
          <w:rFonts w:ascii="Arial" w:hAnsi="Arial" w:cs="Arial"/>
          <w:lang w:eastAsia="ru-RU"/>
        </w:rPr>
        <w:t>результаты</w:t>
      </w:r>
      <w:proofErr w:type="gramEnd"/>
      <w:r>
        <w:rPr>
          <w:rFonts w:ascii="Arial" w:hAnsi="Arial" w:cs="Arial"/>
          <w:lang w:eastAsia="ru-RU"/>
        </w:rPr>
        <w:t xml:space="preserve"> которых были признаны недействительными и </w:t>
      </w:r>
      <w:r>
        <w:rPr>
          <w:rFonts w:ascii="Arial" w:hAnsi="Arial" w:cs="Arial"/>
          <w:lang w:eastAsia="ru-RU"/>
        </w:rPr>
        <w:lastRenderedPageBreak/>
        <w:t>(или) отменены, за отчетный период.»</w:t>
      </w:r>
    </w:p>
    <w:p w:rsidR="000842A3" w:rsidRDefault="000842A3" w:rsidP="000842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посл</w:t>
      </w:r>
      <w:r w:rsidR="00907342">
        <w:rPr>
          <w:rFonts w:ascii="Arial" w:hAnsi="Arial" w:cs="Arial"/>
        </w:rPr>
        <w:t>е его официального обнародования</w:t>
      </w:r>
      <w:r>
        <w:rPr>
          <w:rFonts w:ascii="Arial" w:hAnsi="Arial" w:cs="Arial"/>
        </w:rPr>
        <w:t>.</w:t>
      </w:r>
    </w:p>
    <w:p w:rsidR="000842A3" w:rsidRDefault="000842A3" w:rsidP="000842A3">
      <w:pPr>
        <w:suppressAutoHyphens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решения оставляю за собой.</w:t>
      </w:r>
    </w:p>
    <w:p w:rsidR="000842A3" w:rsidRDefault="000842A3" w:rsidP="000842A3">
      <w:pPr>
        <w:suppressAutoHyphens w:val="0"/>
        <w:jc w:val="both"/>
        <w:rPr>
          <w:rFonts w:ascii="Arial" w:hAnsi="Arial" w:cs="Arial"/>
          <w:lang w:eastAsia="en-US"/>
        </w:rPr>
      </w:pPr>
    </w:p>
    <w:p w:rsidR="000842A3" w:rsidRDefault="000842A3" w:rsidP="000842A3">
      <w:pPr>
        <w:suppressAutoHyphens w:val="0"/>
        <w:jc w:val="both"/>
        <w:rPr>
          <w:rFonts w:ascii="Arial" w:hAnsi="Arial" w:cs="Arial"/>
          <w:lang w:eastAsia="en-US"/>
        </w:rPr>
      </w:pPr>
    </w:p>
    <w:p w:rsidR="000842A3" w:rsidRDefault="000842A3" w:rsidP="000842A3">
      <w:pPr>
        <w:pStyle w:val="1"/>
        <w:shd w:val="clear" w:color="auto" w:fill="auto"/>
        <w:spacing w:before="0" w:after="0" w:line="326" w:lineRule="exact"/>
        <w:ind w:right="16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С. М. Ананьев.                                                        </w:t>
      </w:r>
    </w:p>
    <w:p w:rsidR="000842A3" w:rsidRDefault="000842A3" w:rsidP="000842A3">
      <w:pPr>
        <w:rPr>
          <w:rFonts w:ascii="Arial" w:hAnsi="Arial" w:cs="Arial"/>
        </w:rPr>
      </w:pPr>
    </w:p>
    <w:p w:rsidR="000842A3" w:rsidRDefault="000842A3" w:rsidP="000842A3">
      <w:pPr>
        <w:ind w:left="5103"/>
        <w:rPr>
          <w:rFonts w:ascii="Arial" w:hAnsi="Arial" w:cs="Arial"/>
        </w:rPr>
      </w:pPr>
    </w:p>
    <w:p w:rsidR="000842A3" w:rsidRDefault="000842A3" w:rsidP="000842A3">
      <w:pPr>
        <w:ind w:left="5103"/>
        <w:rPr>
          <w:rFonts w:ascii="Arial" w:hAnsi="Arial" w:cs="Arial"/>
        </w:rPr>
      </w:pPr>
    </w:p>
    <w:p w:rsidR="00C159F1" w:rsidRDefault="00C159F1"/>
    <w:sectPr w:rsidR="00C159F1" w:rsidSect="00C1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42A3"/>
    <w:rsid w:val="000842A3"/>
    <w:rsid w:val="00907342"/>
    <w:rsid w:val="00C1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0842A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qFormat/>
    <w:rsid w:val="00084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_"/>
    <w:link w:val="1"/>
    <w:locked/>
    <w:rsid w:val="000842A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842A3"/>
    <w:pPr>
      <w:shd w:val="clear" w:color="auto" w:fill="FFFFFF"/>
      <w:suppressAutoHyphens w:val="0"/>
      <w:spacing w:before="360" w:after="36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4">
    <w:name w:val="Hyperlink"/>
    <w:basedOn w:val="a0"/>
    <w:uiPriority w:val="99"/>
    <w:semiHidden/>
    <w:unhideWhenUsed/>
    <w:rsid w:val="000842A3"/>
    <w:rPr>
      <w:color w:val="0000FF"/>
      <w:u w:val="single"/>
    </w:rPr>
  </w:style>
  <w:style w:type="paragraph" w:styleId="a5">
    <w:name w:val="No Spacing"/>
    <w:uiPriority w:val="1"/>
    <w:qFormat/>
    <w:rsid w:val="0090734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2021-12-27T07:31:00Z</dcterms:created>
  <dcterms:modified xsi:type="dcterms:W3CDTF">2021-12-27T07:34:00Z</dcterms:modified>
</cp:coreProperties>
</file>